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7F7D0" w14:textId="77777777" w:rsidR="002F3A78" w:rsidRPr="006E5422" w:rsidRDefault="002F3A78" w:rsidP="002F3A78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es-ES"/>
          <w14:ligatures w14:val="none"/>
        </w:rPr>
      </w:pPr>
      <w:r w:rsidRPr="00357B4A">
        <w:rPr>
          <w:rFonts w:ascii="Times New Roman" w:hAnsi="Times New Roman" w:cs="Times New Roman"/>
          <w:b/>
          <w:bCs/>
          <w:sz w:val="24"/>
          <w:szCs w:val="24"/>
        </w:rPr>
        <w:t xml:space="preserve">Association of the rs1042522 SNP </w:t>
      </w:r>
      <w:r w:rsidRPr="006E5422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es-ES"/>
          <w14:ligatures w14:val="none"/>
        </w:rPr>
        <w:t xml:space="preserve">with prostate cancer risk: a study of cancer tissues, primary </w:t>
      </w:r>
      <w:proofErr w:type="spellStart"/>
      <w:r w:rsidRPr="006E5422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es-ES"/>
          <w14:ligatures w14:val="none"/>
        </w:rPr>
        <w:t>tumor</w:t>
      </w:r>
      <w:proofErr w:type="spellEnd"/>
      <w:r w:rsidRPr="006E5422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4"/>
          <w:lang w:eastAsia="es-ES"/>
          <w14:ligatures w14:val="none"/>
        </w:rPr>
        <w:t xml:space="preserve"> cultures and serum samples from a European Caucasian population.</w:t>
      </w:r>
    </w:p>
    <w:p w14:paraId="45AF000E" w14:textId="1643E029" w:rsidR="0007098D" w:rsidRDefault="002F3A78" w:rsidP="002F3A78">
      <w:pPr>
        <w:jc w:val="center"/>
        <w:rPr>
          <w:b/>
          <w:bCs/>
        </w:rPr>
      </w:pPr>
      <w:r w:rsidRPr="002F3A78">
        <w:rPr>
          <w:b/>
          <w:bCs/>
        </w:rPr>
        <w:t>Supplementary information</w:t>
      </w:r>
    </w:p>
    <w:p w14:paraId="75DF1879" w14:textId="77777777" w:rsidR="002F3A78" w:rsidRDefault="002F3A78" w:rsidP="002F3A78">
      <w:pPr>
        <w:rPr>
          <w:b/>
          <w:bCs/>
        </w:rPr>
      </w:pPr>
    </w:p>
    <w:p w14:paraId="1527F6CA" w14:textId="77777777" w:rsidR="002F3A78" w:rsidRPr="00836461" w:rsidRDefault="002F3A78" w:rsidP="002F3A78">
      <w:pPr>
        <w:pStyle w:val="Descripcin"/>
        <w:keepNext/>
        <w:spacing w:line="480" w:lineRule="auto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83646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</w:t>
      </w:r>
      <w:r w:rsidRPr="0083646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1. Cycling conditions for </w:t>
      </w:r>
      <w:r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melting</w:t>
      </w:r>
      <w:r w:rsidRPr="00836461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curve analysis</w:t>
      </w:r>
    </w:p>
    <w:tbl>
      <w:tblPr>
        <w:tblStyle w:val="Tablaconcuadrculaclara"/>
        <w:tblpPr w:leftFromText="141" w:rightFromText="141" w:vertAnchor="text" w:horzAnchor="margin" w:tblpY="132"/>
        <w:tblW w:w="8633" w:type="dxa"/>
        <w:tblLook w:val="04A0" w:firstRow="1" w:lastRow="0" w:firstColumn="1" w:lastColumn="0" w:noHBand="0" w:noVBand="1"/>
      </w:tblPr>
      <w:tblGrid>
        <w:gridCol w:w="1719"/>
        <w:gridCol w:w="1335"/>
        <w:gridCol w:w="1806"/>
        <w:gridCol w:w="1527"/>
        <w:gridCol w:w="2246"/>
      </w:tblGrid>
      <w:tr w:rsidR="002F3A78" w14:paraId="0AB5B6EF" w14:textId="77777777" w:rsidTr="00B62594">
        <w:trPr>
          <w:trHeight w:val="331"/>
        </w:trPr>
        <w:tc>
          <w:tcPr>
            <w:tcW w:w="1719" w:type="dxa"/>
            <w:vAlign w:val="center"/>
          </w:tcPr>
          <w:p w14:paraId="39336445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Phase.</w:t>
            </w:r>
          </w:p>
        </w:tc>
        <w:tc>
          <w:tcPr>
            <w:tcW w:w="1335" w:type="dxa"/>
            <w:vAlign w:val="center"/>
          </w:tcPr>
          <w:p w14:paraId="039A9073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Cycles</w:t>
            </w:r>
          </w:p>
        </w:tc>
        <w:tc>
          <w:tcPr>
            <w:tcW w:w="1806" w:type="dxa"/>
            <w:vAlign w:val="center"/>
          </w:tcPr>
          <w:p w14:paraId="5BA43609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Temperature</w:t>
            </w:r>
          </w:p>
        </w:tc>
        <w:tc>
          <w:tcPr>
            <w:tcW w:w="1527" w:type="dxa"/>
            <w:vAlign w:val="center"/>
          </w:tcPr>
          <w:p w14:paraId="45B9E231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Hold</w:t>
            </w:r>
          </w:p>
        </w:tc>
        <w:tc>
          <w:tcPr>
            <w:tcW w:w="2246" w:type="dxa"/>
            <w:vAlign w:val="center"/>
          </w:tcPr>
          <w:p w14:paraId="0727535C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Ramp rate (°C/s)</w:t>
            </w:r>
          </w:p>
        </w:tc>
      </w:tr>
      <w:tr w:rsidR="002F3A78" w14:paraId="5D1BE124" w14:textId="77777777" w:rsidTr="00B62594">
        <w:trPr>
          <w:trHeight w:val="209"/>
        </w:trPr>
        <w:tc>
          <w:tcPr>
            <w:tcW w:w="1719" w:type="dxa"/>
            <w:vAlign w:val="center"/>
          </w:tcPr>
          <w:p w14:paraId="78379F60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Denaturation</w:t>
            </w:r>
          </w:p>
        </w:tc>
        <w:tc>
          <w:tcPr>
            <w:tcW w:w="1335" w:type="dxa"/>
            <w:vAlign w:val="center"/>
          </w:tcPr>
          <w:p w14:paraId="08EA1AB1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6" w:type="dxa"/>
            <w:vAlign w:val="center"/>
          </w:tcPr>
          <w:p w14:paraId="180EB2AC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27" w:type="dxa"/>
            <w:vAlign w:val="center"/>
          </w:tcPr>
          <w:p w14:paraId="06E93712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10 min</w:t>
            </w:r>
          </w:p>
        </w:tc>
        <w:tc>
          <w:tcPr>
            <w:tcW w:w="2246" w:type="dxa"/>
            <w:vAlign w:val="center"/>
          </w:tcPr>
          <w:p w14:paraId="3BF26510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2F3A78" w14:paraId="0C10D896" w14:textId="77777777" w:rsidTr="00B62594">
        <w:trPr>
          <w:trHeight w:val="237"/>
        </w:trPr>
        <w:tc>
          <w:tcPr>
            <w:tcW w:w="1719" w:type="dxa"/>
            <w:vMerge w:val="restart"/>
            <w:vAlign w:val="center"/>
          </w:tcPr>
          <w:p w14:paraId="1199031D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Cycling</w:t>
            </w:r>
          </w:p>
        </w:tc>
        <w:tc>
          <w:tcPr>
            <w:tcW w:w="1335" w:type="dxa"/>
            <w:vMerge w:val="restart"/>
            <w:vAlign w:val="center"/>
          </w:tcPr>
          <w:p w14:paraId="36192BA1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6" w:type="dxa"/>
            <w:vAlign w:val="center"/>
          </w:tcPr>
          <w:p w14:paraId="7EAB8CE3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27" w:type="dxa"/>
            <w:vAlign w:val="center"/>
          </w:tcPr>
          <w:p w14:paraId="1648D2A9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10 sec</w:t>
            </w:r>
          </w:p>
        </w:tc>
        <w:tc>
          <w:tcPr>
            <w:tcW w:w="2246" w:type="dxa"/>
            <w:vAlign w:val="center"/>
          </w:tcPr>
          <w:p w14:paraId="02C649FB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2F3A78" w14:paraId="18255943" w14:textId="77777777" w:rsidTr="00B62594">
        <w:trPr>
          <w:trHeight w:val="138"/>
        </w:trPr>
        <w:tc>
          <w:tcPr>
            <w:tcW w:w="1719" w:type="dxa"/>
            <w:vMerge/>
            <w:vAlign w:val="center"/>
          </w:tcPr>
          <w:p w14:paraId="7D51A106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Merge/>
            <w:vAlign w:val="center"/>
          </w:tcPr>
          <w:p w14:paraId="3F9B4C4C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14:paraId="43CAC42B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27" w:type="dxa"/>
            <w:vAlign w:val="center"/>
          </w:tcPr>
          <w:p w14:paraId="54D4872D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10 sec</w:t>
            </w:r>
          </w:p>
        </w:tc>
        <w:tc>
          <w:tcPr>
            <w:tcW w:w="2246" w:type="dxa"/>
            <w:vAlign w:val="center"/>
          </w:tcPr>
          <w:p w14:paraId="7852B637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2F3A78" w14:paraId="01399339" w14:textId="77777777" w:rsidTr="00B62594">
        <w:trPr>
          <w:trHeight w:val="138"/>
        </w:trPr>
        <w:tc>
          <w:tcPr>
            <w:tcW w:w="1719" w:type="dxa"/>
            <w:vMerge/>
            <w:vAlign w:val="center"/>
          </w:tcPr>
          <w:p w14:paraId="6BDE2DCA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Merge/>
            <w:vAlign w:val="center"/>
          </w:tcPr>
          <w:p w14:paraId="458F7F0A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14:paraId="2D0988C3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27" w:type="dxa"/>
            <w:vAlign w:val="center"/>
          </w:tcPr>
          <w:p w14:paraId="61D06A6B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15 sec</w:t>
            </w:r>
          </w:p>
        </w:tc>
        <w:tc>
          <w:tcPr>
            <w:tcW w:w="2246" w:type="dxa"/>
            <w:vAlign w:val="center"/>
          </w:tcPr>
          <w:p w14:paraId="138F72F3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2F3A78" w14:paraId="5CCF3DCB" w14:textId="77777777" w:rsidTr="00B62594">
        <w:trPr>
          <w:trHeight w:val="223"/>
        </w:trPr>
        <w:tc>
          <w:tcPr>
            <w:tcW w:w="1719" w:type="dxa"/>
            <w:vMerge w:val="restart"/>
            <w:vAlign w:val="center"/>
          </w:tcPr>
          <w:p w14:paraId="18D19500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Melting</w:t>
            </w:r>
          </w:p>
        </w:tc>
        <w:tc>
          <w:tcPr>
            <w:tcW w:w="1335" w:type="dxa"/>
            <w:vMerge w:val="restart"/>
            <w:vAlign w:val="center"/>
          </w:tcPr>
          <w:p w14:paraId="3B4DE9AF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6" w:type="dxa"/>
            <w:vAlign w:val="center"/>
          </w:tcPr>
          <w:p w14:paraId="370AA4E5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527" w:type="dxa"/>
            <w:vAlign w:val="center"/>
          </w:tcPr>
          <w:p w14:paraId="2E64BDE8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30 sec</w:t>
            </w:r>
          </w:p>
        </w:tc>
        <w:tc>
          <w:tcPr>
            <w:tcW w:w="2246" w:type="dxa"/>
            <w:vAlign w:val="center"/>
          </w:tcPr>
          <w:p w14:paraId="69D64984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2F3A78" w14:paraId="10F1F14F" w14:textId="77777777" w:rsidTr="00B62594">
        <w:trPr>
          <w:trHeight w:val="138"/>
        </w:trPr>
        <w:tc>
          <w:tcPr>
            <w:tcW w:w="1719" w:type="dxa"/>
            <w:vMerge/>
            <w:vAlign w:val="center"/>
          </w:tcPr>
          <w:p w14:paraId="158283B8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Merge/>
            <w:vAlign w:val="center"/>
          </w:tcPr>
          <w:p w14:paraId="4B03DDB2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14:paraId="6E5CC3D0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27" w:type="dxa"/>
            <w:vAlign w:val="center"/>
          </w:tcPr>
          <w:p w14:paraId="77D0EDB5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2246" w:type="dxa"/>
            <w:vAlign w:val="center"/>
          </w:tcPr>
          <w:p w14:paraId="253C2F5E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  <w:tr w:rsidR="002F3A78" w14:paraId="2832BE81" w14:textId="77777777" w:rsidTr="00B62594">
        <w:trPr>
          <w:trHeight w:val="138"/>
        </w:trPr>
        <w:tc>
          <w:tcPr>
            <w:tcW w:w="1719" w:type="dxa"/>
            <w:vMerge/>
            <w:vAlign w:val="center"/>
          </w:tcPr>
          <w:p w14:paraId="2CC3141B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Merge/>
            <w:vAlign w:val="center"/>
          </w:tcPr>
          <w:p w14:paraId="52E71052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vAlign w:val="center"/>
          </w:tcPr>
          <w:p w14:paraId="056A02B1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27" w:type="dxa"/>
            <w:vAlign w:val="center"/>
          </w:tcPr>
          <w:p w14:paraId="4EF5FF2A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0 sec</w:t>
            </w:r>
          </w:p>
        </w:tc>
        <w:tc>
          <w:tcPr>
            <w:tcW w:w="2246" w:type="dxa"/>
            <w:vAlign w:val="center"/>
          </w:tcPr>
          <w:p w14:paraId="4E4AD74F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3A78" w14:paraId="6ECB964F" w14:textId="77777777" w:rsidTr="00B62594">
        <w:trPr>
          <w:trHeight w:val="237"/>
        </w:trPr>
        <w:tc>
          <w:tcPr>
            <w:tcW w:w="1719" w:type="dxa"/>
            <w:vAlign w:val="center"/>
          </w:tcPr>
          <w:p w14:paraId="3DC3154F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Cooling</w:t>
            </w:r>
          </w:p>
        </w:tc>
        <w:tc>
          <w:tcPr>
            <w:tcW w:w="1335" w:type="dxa"/>
            <w:vAlign w:val="center"/>
          </w:tcPr>
          <w:p w14:paraId="00154541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6" w:type="dxa"/>
            <w:vAlign w:val="center"/>
          </w:tcPr>
          <w:p w14:paraId="4B0E8204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27" w:type="dxa"/>
            <w:vAlign w:val="center"/>
          </w:tcPr>
          <w:p w14:paraId="069E9E29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30 sec</w:t>
            </w:r>
          </w:p>
        </w:tc>
        <w:tc>
          <w:tcPr>
            <w:tcW w:w="2246" w:type="dxa"/>
            <w:vAlign w:val="center"/>
          </w:tcPr>
          <w:p w14:paraId="0E264FAF" w14:textId="77777777" w:rsidR="002F3A78" w:rsidRPr="00CD4031" w:rsidRDefault="002F3A78" w:rsidP="00B625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</w:tbl>
    <w:p w14:paraId="13523536" w14:textId="77777777" w:rsidR="002F3A78" w:rsidRDefault="002F3A78" w:rsidP="002F3A78">
      <w:pPr>
        <w:spacing w:line="480" w:lineRule="auto"/>
        <w:jc w:val="both"/>
        <w:rPr>
          <w:b/>
          <w:bCs/>
        </w:rPr>
      </w:pPr>
    </w:p>
    <w:p w14:paraId="6988A8A0" w14:textId="77777777" w:rsidR="002F3A78" w:rsidRDefault="002F3A78" w:rsidP="002F3A7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29A35" w14:textId="77777777" w:rsidR="002F3A78" w:rsidRPr="00836461" w:rsidRDefault="002F3A78" w:rsidP="002F3A78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3646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36461">
        <w:rPr>
          <w:rFonts w:ascii="Times New Roman" w:hAnsi="Times New Roman" w:cs="Times New Roman"/>
          <w:b/>
          <w:bCs/>
          <w:sz w:val="24"/>
          <w:szCs w:val="24"/>
        </w:rPr>
        <w:t>2. Prostate cancer classification according to Gleason pattern.</w:t>
      </w:r>
    </w:p>
    <w:tbl>
      <w:tblPr>
        <w:tblStyle w:val="Tablaconcuadrcula1clara"/>
        <w:tblW w:w="8878" w:type="dxa"/>
        <w:tblInd w:w="-5" w:type="dxa"/>
        <w:tblLook w:val="04A0" w:firstRow="1" w:lastRow="0" w:firstColumn="1" w:lastColumn="0" w:noHBand="0" w:noVBand="1"/>
      </w:tblPr>
      <w:tblGrid>
        <w:gridCol w:w="2694"/>
        <w:gridCol w:w="1701"/>
        <w:gridCol w:w="1842"/>
        <w:gridCol w:w="2641"/>
      </w:tblGrid>
      <w:tr w:rsidR="002F3A78" w14:paraId="08249543" w14:textId="77777777" w:rsidTr="00B62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7282C748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42607305"/>
            <w:r>
              <w:rPr>
                <w:rFonts w:ascii="Times New Roman" w:hAnsi="Times New Roman" w:cs="Times New Roman"/>
                <w:sz w:val="24"/>
                <w:szCs w:val="24"/>
              </w:rPr>
              <w:t>Patterns*</w:t>
            </w:r>
          </w:p>
        </w:tc>
        <w:tc>
          <w:tcPr>
            <w:tcW w:w="1701" w:type="dxa"/>
            <w:vAlign w:val="center"/>
          </w:tcPr>
          <w:p w14:paraId="1E2401CE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1842" w:type="dxa"/>
            <w:vAlign w:val="center"/>
          </w:tcPr>
          <w:p w14:paraId="6665FDFF" w14:textId="00BD47B5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r w:rsidRPr="002F3A7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2641" w:type="dxa"/>
            <w:vAlign w:val="center"/>
          </w:tcPr>
          <w:p w14:paraId="71CE0862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Significance</w:t>
            </w:r>
          </w:p>
        </w:tc>
      </w:tr>
      <w:tr w:rsidR="002F3A78" w14:paraId="2BC7BB44" w14:textId="77777777" w:rsidTr="00B62594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7E7ECFFA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1+2, 3+2, 3+3</w:t>
            </w:r>
          </w:p>
        </w:tc>
        <w:tc>
          <w:tcPr>
            <w:tcW w:w="1701" w:type="dxa"/>
            <w:vAlign w:val="center"/>
          </w:tcPr>
          <w:p w14:paraId="61FDA334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≤ 6</w:t>
            </w:r>
          </w:p>
        </w:tc>
        <w:tc>
          <w:tcPr>
            <w:tcW w:w="1842" w:type="dxa"/>
            <w:vAlign w:val="center"/>
          </w:tcPr>
          <w:p w14:paraId="5A6AE59E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41" w:type="dxa"/>
            <w:vAlign w:val="center"/>
          </w:tcPr>
          <w:p w14:paraId="51F7D589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Low-grade cancer</w:t>
            </w:r>
          </w:p>
        </w:tc>
      </w:tr>
      <w:tr w:rsidR="002F3A78" w14:paraId="43181298" w14:textId="77777777" w:rsidTr="00B62594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2867F905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3+4</w:t>
            </w:r>
          </w:p>
        </w:tc>
        <w:tc>
          <w:tcPr>
            <w:tcW w:w="1701" w:type="dxa"/>
            <w:vAlign w:val="center"/>
          </w:tcPr>
          <w:p w14:paraId="37C8FC13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vAlign w:val="center"/>
          </w:tcPr>
          <w:p w14:paraId="347B34C7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1" w:type="dxa"/>
            <w:vAlign w:val="center"/>
          </w:tcPr>
          <w:p w14:paraId="75A481E5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Medium-grade cancer</w:t>
            </w:r>
          </w:p>
        </w:tc>
      </w:tr>
      <w:tr w:rsidR="002F3A78" w14:paraId="7E441E37" w14:textId="77777777" w:rsidTr="00B6259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D8E3A59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4+3</w:t>
            </w:r>
          </w:p>
        </w:tc>
        <w:tc>
          <w:tcPr>
            <w:tcW w:w="1701" w:type="dxa"/>
            <w:vAlign w:val="center"/>
          </w:tcPr>
          <w:p w14:paraId="246115BE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vAlign w:val="center"/>
          </w:tcPr>
          <w:p w14:paraId="3B8BD059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41" w:type="dxa"/>
            <w:vAlign w:val="center"/>
          </w:tcPr>
          <w:p w14:paraId="7DC4B441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Medium-grade cancer</w:t>
            </w:r>
          </w:p>
        </w:tc>
      </w:tr>
      <w:tr w:rsidR="002F3A78" w14:paraId="4F135B8F" w14:textId="77777777" w:rsidTr="00B62594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164826E2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3+5, 4+4, 5+3</w:t>
            </w:r>
          </w:p>
        </w:tc>
        <w:tc>
          <w:tcPr>
            <w:tcW w:w="1701" w:type="dxa"/>
            <w:vAlign w:val="center"/>
          </w:tcPr>
          <w:p w14:paraId="69086C2A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vAlign w:val="center"/>
          </w:tcPr>
          <w:p w14:paraId="032A6CB7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41" w:type="dxa"/>
            <w:vAlign w:val="center"/>
          </w:tcPr>
          <w:p w14:paraId="0D9959B6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High-grade cancer</w:t>
            </w:r>
          </w:p>
        </w:tc>
      </w:tr>
      <w:tr w:rsidR="002F3A78" w14:paraId="2340D4D2" w14:textId="77777777" w:rsidTr="00B62594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34AC4F85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4+5, 5+4</w:t>
            </w:r>
          </w:p>
        </w:tc>
        <w:tc>
          <w:tcPr>
            <w:tcW w:w="1701" w:type="dxa"/>
            <w:vAlign w:val="center"/>
          </w:tcPr>
          <w:p w14:paraId="51738199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2" w:type="dxa"/>
            <w:vAlign w:val="center"/>
          </w:tcPr>
          <w:p w14:paraId="573FB414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1" w:type="dxa"/>
            <w:vAlign w:val="center"/>
          </w:tcPr>
          <w:p w14:paraId="41EC59E1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High-grade cancer</w:t>
            </w:r>
          </w:p>
        </w:tc>
      </w:tr>
      <w:tr w:rsidR="002F3A78" w14:paraId="6FB22B31" w14:textId="77777777" w:rsidTr="00B62594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Align w:val="center"/>
          </w:tcPr>
          <w:p w14:paraId="09314C17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5+5</w:t>
            </w:r>
          </w:p>
        </w:tc>
        <w:tc>
          <w:tcPr>
            <w:tcW w:w="1701" w:type="dxa"/>
            <w:vAlign w:val="center"/>
          </w:tcPr>
          <w:p w14:paraId="4340D2FD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2" w:type="dxa"/>
            <w:vAlign w:val="center"/>
          </w:tcPr>
          <w:p w14:paraId="28EB1C70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41" w:type="dxa"/>
            <w:vAlign w:val="center"/>
          </w:tcPr>
          <w:p w14:paraId="5EAEB713" w14:textId="77777777" w:rsidR="002F3A78" w:rsidRPr="00CD4031" w:rsidRDefault="002F3A78" w:rsidP="00B62594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sz w:val="24"/>
                <w:szCs w:val="24"/>
              </w:rPr>
              <w:t>High-grade cancer</w:t>
            </w:r>
          </w:p>
        </w:tc>
      </w:tr>
      <w:tr w:rsidR="002F3A78" w14:paraId="5496989B" w14:textId="77777777" w:rsidTr="00B62594">
        <w:trPr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78" w:type="dxa"/>
            <w:gridSpan w:val="4"/>
            <w:vAlign w:val="center"/>
          </w:tcPr>
          <w:p w14:paraId="212FE818" w14:textId="77777777" w:rsidR="002F3A78" w:rsidRDefault="002F3A78" w:rsidP="00B62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*</w:t>
            </w:r>
            <w:r w:rsidRPr="002766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Gleason patterns indicate the grade of tissue differentiation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  <w:p w14:paraId="2A210F0D" w14:textId="3EBF61DF" w:rsidR="002F3A78" w:rsidRPr="002F3A78" w:rsidRDefault="002F3A78" w:rsidP="00B62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3A7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  <w:r w:rsidRPr="002F3A78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etail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of the 5 group characteristics:</w:t>
            </w:r>
          </w:p>
          <w:p w14:paraId="45E7ACC5" w14:textId="77777777" w:rsidR="002F3A78" w:rsidRPr="00276651" w:rsidRDefault="002F3A78" w:rsidP="00B62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1</w:t>
            </w:r>
            <w:r w:rsidRPr="002766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Small, uniform glands, well differentiated.</w:t>
            </w:r>
          </w:p>
          <w:p w14:paraId="63DBE96A" w14:textId="77777777" w:rsidR="002F3A78" w:rsidRPr="00276651" w:rsidRDefault="002F3A78" w:rsidP="00B62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2</w:t>
            </w:r>
            <w:r w:rsidRPr="002766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More stroma between glands, well differentiated.</w:t>
            </w:r>
          </w:p>
          <w:p w14:paraId="06967E46" w14:textId="77777777" w:rsidR="002F3A78" w:rsidRPr="00276651" w:rsidRDefault="002F3A78" w:rsidP="00B62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3</w:t>
            </w:r>
            <w:r w:rsidRPr="002766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Distinctly infiltrative margins, moderately differentiated.</w:t>
            </w:r>
          </w:p>
          <w:p w14:paraId="5676F315" w14:textId="77777777" w:rsidR="002F3A78" w:rsidRPr="00276651" w:rsidRDefault="002F3A78" w:rsidP="00B62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4</w:t>
            </w:r>
            <w:r w:rsidRPr="00276651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Irregular masses of neoplastic glands, poorly differentiated.</w:t>
            </w:r>
          </w:p>
          <w:p w14:paraId="2C585A8D" w14:textId="77777777" w:rsidR="002F3A78" w:rsidRPr="00CD4031" w:rsidRDefault="002F3A78" w:rsidP="00B625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4031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Only occasional gland formation, poorly differentiated/anaplastic tissue.</w:t>
            </w:r>
          </w:p>
        </w:tc>
      </w:tr>
      <w:bookmarkEnd w:id="0"/>
    </w:tbl>
    <w:p w14:paraId="3B05C306" w14:textId="77777777" w:rsidR="002F3A78" w:rsidRDefault="002F3A78" w:rsidP="002F3A78">
      <w:pPr>
        <w:rPr>
          <w:b/>
          <w:bCs/>
        </w:rPr>
      </w:pPr>
    </w:p>
    <w:p w14:paraId="67735D06" w14:textId="77777777" w:rsidR="002F3A78" w:rsidRDefault="002F3A78" w:rsidP="002F3A78">
      <w:pPr>
        <w:rPr>
          <w:b/>
          <w:bCs/>
        </w:rPr>
      </w:pPr>
    </w:p>
    <w:p w14:paraId="226D502B" w14:textId="77777777" w:rsidR="0057509A" w:rsidRDefault="0057509A" w:rsidP="002F3A78">
      <w:pPr>
        <w:rPr>
          <w:b/>
          <w:bCs/>
        </w:rPr>
      </w:pPr>
    </w:p>
    <w:p w14:paraId="3677E83A" w14:textId="210EB8C7" w:rsidR="00900300" w:rsidRPr="00D50EDD" w:rsidRDefault="00900300" w:rsidP="00900300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Figure S1.</w:t>
      </w:r>
      <w:r w:rsidRPr="00D50EDD">
        <w:rPr>
          <w:rFonts w:ascii="Times New Roman" w:hAnsi="Times New Roman" w:cs="Times New Roman"/>
          <w:b/>
          <w:bCs/>
          <w:sz w:val="24"/>
          <w:szCs w:val="24"/>
        </w:rPr>
        <w:t xml:space="preserve"> SNP P72R in the TP53 gene. A) </w:t>
      </w:r>
      <w:r w:rsidRPr="00D50EDD">
        <w:rPr>
          <w:rFonts w:ascii="Times New Roman" w:hAnsi="Times New Roman" w:cs="Times New Roman"/>
          <w:sz w:val="24"/>
          <w:szCs w:val="24"/>
        </w:rPr>
        <w:t xml:space="preserve">The TP53 canonical transcript 201 consists of 11 exons encoding a protein of 393 amino acids, spanning from exon 2 to the 5’ region of exon 11. </w:t>
      </w:r>
      <w:r w:rsidRPr="00D50EDD">
        <w:rPr>
          <w:rFonts w:ascii="Times New Roman" w:hAnsi="Times New Roman" w:cs="Times New Roman"/>
          <w:b/>
          <w:bCs/>
          <w:sz w:val="24"/>
          <w:szCs w:val="24"/>
        </w:rPr>
        <w:t>B)</w:t>
      </w:r>
      <w:r w:rsidRPr="00D50EDD">
        <w:rPr>
          <w:rFonts w:ascii="Times New Roman" w:hAnsi="Times New Roman" w:cs="Times New Roman"/>
          <w:sz w:val="24"/>
          <w:szCs w:val="24"/>
        </w:rPr>
        <w:t xml:space="preserve"> The SNP P72R (black arrows) polymorphic variant: Proline (P) is encoded by the triplet CCC, and Arginine (R) is encoded by CGC at position 357 of the coding strand. </w:t>
      </w:r>
      <w:r w:rsidRPr="00D50EDD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D50EDD">
        <w:rPr>
          <w:rFonts w:ascii="Times New Roman" w:hAnsi="Times New Roman" w:cs="Times New Roman"/>
          <w:sz w:val="24"/>
          <w:szCs w:val="24"/>
        </w:rPr>
        <w:t xml:space="preserve"> Change in the hydrophobic profile of the protein (red arrow) when P is changed to R, a polar-positive amino acid. Figures adapted from Benchling.com.</w:t>
      </w:r>
      <w:r w:rsidRPr="00900300">
        <w:rPr>
          <w:rFonts w:ascii="Times New Roman" w:hAnsi="Times New Roman" w:cs="Times New Roman"/>
          <w:b/>
          <w:bCs/>
          <w:noProof/>
        </w:rPr>
        <w:t xml:space="preserve">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BC416AE" wp14:editId="0D3E80F3">
            <wp:extent cx="5400040" cy="3370899"/>
            <wp:effectExtent l="0" t="0" r="0" b="1270"/>
            <wp:docPr id="379619000" name="Imagen 1" descr="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19000" name="Imagen 1" descr="Escala de tiem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68523" w14:textId="3114D5FC" w:rsidR="0057509A" w:rsidRPr="0057509A" w:rsidRDefault="0057509A" w:rsidP="002F3A78">
      <w:pPr>
        <w:rPr>
          <w:rFonts w:ascii="Times New Roman" w:hAnsi="Times New Roman" w:cs="Times New Roman"/>
          <w:b/>
          <w:bCs/>
        </w:rPr>
      </w:pPr>
    </w:p>
    <w:p w14:paraId="435604A4" w14:textId="77777777" w:rsidR="002F3A78" w:rsidRPr="0057509A" w:rsidRDefault="002F3A78" w:rsidP="002F3A78">
      <w:pPr>
        <w:rPr>
          <w:b/>
          <w:bCs/>
          <w:lang w:val="en-US"/>
        </w:rPr>
      </w:pPr>
    </w:p>
    <w:sectPr w:rsidR="002F3A78" w:rsidRPr="005750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A78"/>
    <w:rsid w:val="0007098D"/>
    <w:rsid w:val="001E43A4"/>
    <w:rsid w:val="002001B8"/>
    <w:rsid w:val="002F3A78"/>
    <w:rsid w:val="002F40FD"/>
    <w:rsid w:val="003925C9"/>
    <w:rsid w:val="003D1C4F"/>
    <w:rsid w:val="003E0A51"/>
    <w:rsid w:val="00482F36"/>
    <w:rsid w:val="0057509A"/>
    <w:rsid w:val="005E5A33"/>
    <w:rsid w:val="005E5D9C"/>
    <w:rsid w:val="007674C9"/>
    <w:rsid w:val="0084287A"/>
    <w:rsid w:val="00883FEB"/>
    <w:rsid w:val="00900300"/>
    <w:rsid w:val="0092520B"/>
    <w:rsid w:val="00A3098E"/>
    <w:rsid w:val="00A60B91"/>
    <w:rsid w:val="00CE1954"/>
    <w:rsid w:val="00D51B92"/>
    <w:rsid w:val="00DF1E13"/>
    <w:rsid w:val="00E9562E"/>
    <w:rsid w:val="00F65AD5"/>
    <w:rsid w:val="00F8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95936"/>
  <w15:chartTrackingRefBased/>
  <w15:docId w15:val="{B5DD1FA1-D25A-4888-9580-6884A169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A78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2F3A78"/>
    <w:pPr>
      <w:spacing w:after="200" w:line="240" w:lineRule="auto"/>
      <w:jc w:val="both"/>
    </w:pPr>
    <w:rPr>
      <w:i/>
      <w:iCs/>
      <w:color w:val="44546A" w:themeColor="text2"/>
      <w:kern w:val="0"/>
      <w:sz w:val="18"/>
      <w:szCs w:val="18"/>
      <w14:ligatures w14:val="none"/>
    </w:rPr>
  </w:style>
  <w:style w:type="table" w:styleId="Tablaconcuadrculaclara">
    <w:name w:val="Grid Table Light"/>
    <w:basedOn w:val="Tablanormal"/>
    <w:uiPriority w:val="40"/>
    <w:rsid w:val="002F3A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2F3A7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">
    <w:name w:val="Table Grid"/>
    <w:basedOn w:val="Tablanormal"/>
    <w:uiPriority w:val="39"/>
    <w:rsid w:val="002F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2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Toscano Guerra</dc:creator>
  <cp:keywords/>
  <dc:description/>
  <cp:lastModifiedBy>Emily Toscano Guerra</cp:lastModifiedBy>
  <cp:revision>6</cp:revision>
  <dcterms:created xsi:type="dcterms:W3CDTF">2024-01-25T21:36:00Z</dcterms:created>
  <dcterms:modified xsi:type="dcterms:W3CDTF">2024-03-08T21:01:00Z</dcterms:modified>
</cp:coreProperties>
</file>